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 w:rsidR="00903050">
        <w:t>3</w:t>
      </w:r>
      <w:r w:rsidRPr="00805AC9">
        <w:t xml:space="preserve"> 201</w:t>
      </w:r>
      <w:r w:rsidR="008D49FF">
        <w:t>7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Общие вопросы природопользования </w:t>
      </w:r>
    </w:p>
    <w:p w:rsidR="00781EDB" w:rsidRDefault="00781EDB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Подводные камни экологии </w:t>
      </w:r>
    </w:p>
    <w:p w:rsidR="00903050" w:rsidRPr="00903050" w:rsidRDefault="00903050" w:rsidP="00903050">
      <w:r w:rsidRPr="00903050">
        <w:t xml:space="preserve">Б.Н. Лузгин, д.г.н., к.г.-м.н., Алтайский государственный университет, г. Барнаул </w:t>
      </w:r>
    </w:p>
    <w:p w:rsidR="00903050" w:rsidRPr="00903050" w:rsidRDefault="00903050" w:rsidP="00903050">
      <w:r w:rsidRPr="00903050">
        <w:t xml:space="preserve">Представления об экологическом состоянии стран во многом субъективны. Повышение их объективности, в связи с ограничениями доступа к соответствующим закрытым базам данных, связано с необходимостью выработки методик, зависимость которых от конъектурных соображений низка. Объективность оценки масштабов экологического загрязнения территорий может быть преимущественно достигнута совершенствованием методов дистанционных исследований Земли. Отслеживание соотношений использования природных ресурсов и их относительного восполнения возможно с применением анализа ресурсо-потребительских систем по алгоритмам аналоговым демографическому переходу. Расчеты коэффициентов Джини позволяют с достаточной достоверностью определять характер расслоения обществ потребления, при его прямой зависимости от резервов соответствующих ресурсов. </w:t>
      </w:r>
    </w:p>
    <w:p w:rsidR="00903050" w:rsidRPr="00903050" w:rsidRDefault="00903050" w:rsidP="00903050">
      <w:r w:rsidRPr="00903050">
        <w:t>Ключевые слова: субъективность экологических оценок, достоверность банка данных, структура и объемы загрязнений, жесткость режимов ООПТ, ресурсо-потребительский переход, коэффициент Джини, экологическая нравственность и мораль.</w:t>
      </w:r>
    </w:p>
    <w:p w:rsidR="00903050" w:rsidRDefault="00903050" w:rsidP="00781EDB"/>
    <w:p w:rsidR="00781EDB" w:rsidRDefault="00781EDB" w:rsidP="00781EDB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Минеральные ресурсы</w:t>
      </w:r>
    </w:p>
    <w:p w:rsidR="00781EDB" w:rsidRDefault="00781EDB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Степная зона Урало-Заволжья в условиях техногенного воздействия: пути оптимизации природопользования с учётом ландшафтной структуры </w:t>
      </w:r>
    </w:p>
    <w:p w:rsidR="00903050" w:rsidRPr="00903050" w:rsidRDefault="00903050" w:rsidP="00903050">
      <w:r w:rsidRPr="00903050">
        <w:t xml:space="preserve">К.В. Мячина, к.г.н., С.А. Дубровская, к.г.н., Институт степи УрО РАН </w:t>
      </w:r>
    </w:p>
    <w:p w:rsidR="00903050" w:rsidRPr="00903050" w:rsidRDefault="00903050" w:rsidP="00903050">
      <w:r w:rsidRPr="00903050">
        <w:t xml:space="preserve">В статье предлагаются пути оптимизации степного горнопромышленного природопользования, разработанные на основе авторского анализа геоэкологического состояния горнопромышленных ландшафтов Урало- Заволжья. Показана методика обработки данных о размещении горнодобывающих объектов в связи со структурными ландшафтными единицами. На примере Оренбургской области выполнена интеграция показателей техногенной нагрузки и схемы природного районирования территории. Выделены территории с высоким уровнем техногенной трансформации, составлена картосхема размещения техногенно-модифицированных территорий области с обозначением зон геоэкологической напряженности и стабильной геоэкологической обстановки. </w:t>
      </w:r>
    </w:p>
    <w:p w:rsidR="00903050" w:rsidRPr="00903050" w:rsidRDefault="00903050" w:rsidP="00903050">
      <w:r w:rsidRPr="00903050">
        <w:t>Ключевые слова: степная зона, горнопромышленный ландшафт, природное районирование, ландшафтная структура, оптимизация природопользования, Урало-Заволжье.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Водные ресурсы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Водопользование в Крыму: ретроспективные тенденции развития и некоторые оценки на перспективу </w:t>
      </w:r>
    </w:p>
    <w:p w:rsidR="00903050" w:rsidRPr="00903050" w:rsidRDefault="00903050" w:rsidP="00903050">
      <w:r w:rsidRPr="00903050">
        <w:t xml:space="preserve">А.Д. Думнов, д.э.н, Е.В. Муравьева., Н.Г. Рыбальский,д.б.н., Национальное информационное агентство «Природные ресурсы» </w:t>
      </w:r>
    </w:p>
    <w:p w:rsidR="00903050" w:rsidRPr="00903050" w:rsidRDefault="00903050" w:rsidP="00903050">
      <w:r w:rsidRPr="00903050">
        <w:t xml:space="preserve">В статье дается краткий анализ водопользования на территории современной Республики Крым и г. Севастополя в длительной ретроспективе, а также некоторые оценки на перспективу на основе официальных статданных и иной информации, опубликованных как в СССР, РСФСР и УССР, так и после 1991 г. на Украине и в России. </w:t>
      </w:r>
    </w:p>
    <w:p w:rsidR="00903050" w:rsidRPr="00903050" w:rsidRDefault="00903050" w:rsidP="00903050">
      <w:r w:rsidRPr="00903050">
        <w:t>Ключевые слова: водопользование, водозабор, использование воды, водоотведение, Северо-Крымский канал, подземные воды, тарифы.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Характеристики содержания и форм существования тяжёлых металлов в донных отложениях Иваньковского и Угличского водохранилищ </w:t>
      </w:r>
    </w:p>
    <w:p w:rsidR="00903050" w:rsidRPr="00903050" w:rsidRDefault="00903050" w:rsidP="00903050">
      <w:r w:rsidRPr="00903050">
        <w:t xml:space="preserve">Г.Ю. Толкачёв, к.г.н., Н.В. Коломийцев, к.г.-м.н., Б.И.Корженевский, к.г.-м.н., ВНИИ гидротехники и мелиорации им. А.Н. Костякова </w:t>
      </w:r>
    </w:p>
    <w:p w:rsidR="00903050" w:rsidRPr="00903050" w:rsidRDefault="00903050" w:rsidP="00903050">
      <w:r w:rsidRPr="00903050">
        <w:t xml:space="preserve">В зависимости генезиса и путей переноса, тяжелые металлы поступают в водоток в разных формах, часто унаследованных от грунтов водосбора. В верхних слоях донных отложений происходят диагенетические процессы, приводящие к перераспределению тяжелых металлов и изменению форм их существования. От этих форм в значительной степени зависит состав и концентрация поровых растворов, прочность связи с твёрдой фазой донных отложений, доступность их использования гидробионтами, уровень токсичности. На основе этих характеристик можно судить о наличии или отсутствии опасности вторичного загрязнения. В работе рассмотрено содержание и формы существования тяжелых металлов в донных отложениях в водохранилищах Верхней Волги – Иваньковского и Угличского. Иваньковское – основной источник водоснабжения г. Москвы, Угличское – расположено ниже Иваньковского. </w:t>
      </w:r>
    </w:p>
    <w:p w:rsidR="00903050" w:rsidRPr="00903050" w:rsidRDefault="00903050" w:rsidP="00903050">
      <w:r w:rsidRPr="00903050">
        <w:t>Ключевые слова: тяжёлые металлы, донные отложения, формы существования, загрязнение, твёрдая фаза, водная масса, водохранилище.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Земельные ресурсы и почвы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Методология эколого-экономической оценки деградации земель на различных иерархических уровнях административно-хозяйственного устройства России </w:t>
      </w:r>
    </w:p>
    <w:p w:rsidR="00903050" w:rsidRPr="00903050" w:rsidRDefault="00903050" w:rsidP="00903050">
      <w:r w:rsidRPr="00903050">
        <w:t xml:space="preserve">О.А. Макаров, д.б.н., А.С. Яковлев, д.б.н., А.С. Строков, к.э.н., Е.В. Цветнов, к.б.н., Я.Р. Ермияев Лаборатория экономики деградации земель факультета почвоведения МГУ им. М.В. Ломоносова </w:t>
      </w:r>
    </w:p>
    <w:p w:rsidR="00903050" w:rsidRPr="00903050" w:rsidRDefault="00903050" w:rsidP="00903050">
      <w:r w:rsidRPr="00903050">
        <w:t xml:space="preserve">Разработана экономически и экологически ориентированная методология оценки деградации земель, учитывающая различные иерархические уровни административно-хозяйственного устройства государства. Создание указанной методологии потребовало поиска компромисса между отечественными и зарубежными подходами к оценке деградации земель. Кроме того, на всех уровнях исследования были учтены монетизированные экосистемные сервисы. Достаточно подробно описаны – экономическая оценка деградации земель, основанная на сравнении экономических показателей сельскохозяйственного производства при устойчивом управлении земельными ресурсами и при «традиционном» землепользовании» («оценка действия / бездействия») и эконометрическая модель влияния орошения на восстановление плодородия земель и экономику сельского хозяйства IMPACT–3. </w:t>
      </w:r>
    </w:p>
    <w:p w:rsidR="00903050" w:rsidRPr="00903050" w:rsidRDefault="00903050" w:rsidP="00903050">
      <w:r w:rsidRPr="00903050">
        <w:t>Ключевые слова: деградация земель, экосистемные сервисы, ущерб от деградации, оценка действия/бездействия, эконометрические модели, уровни административно-хозяйственного устройства.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>Лесные ресурсы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Особенности адаптации лесов и лесного хозяйства России к изменениям климата </w:t>
      </w:r>
    </w:p>
    <w:p w:rsidR="00903050" w:rsidRPr="00903050" w:rsidRDefault="00903050" w:rsidP="00903050">
      <w:r w:rsidRPr="00903050">
        <w:t xml:space="preserve">А.И. Писаренко, академик РАН, Рослесхоз, В.В. Страхов, д.с.-х.н., ВНИИЛМ </w:t>
      </w:r>
    </w:p>
    <w:p w:rsidR="00903050" w:rsidRPr="00903050" w:rsidRDefault="00903050" w:rsidP="00903050">
      <w:r w:rsidRPr="00903050">
        <w:t xml:space="preserve">В статье отображены главные результаты анализа предполагаемых наиболее вероятных параметров отклика лесных экосистем России на глобальное потепление климата, выполненного авторами в отношении процессов отклика лесных экосистем России на глобальное потепление. В статье рассмотрено несколько практических действий лесного хозяйства России в отношении адаптации к изменениям климата Земли. Показано, что нужны исследования в области математического моделирования трансформации современных лесных экосистем с целью моделирования стратегии, средств, методов и </w:t>
      </w:r>
      <w:r w:rsidRPr="00903050">
        <w:lastRenderedPageBreak/>
        <w:t xml:space="preserve">возможных результатов процесса адаптации лесов и лесного хозяйства к изменениям климата, лесному хозяйству нужна стратегия адаптации лесов и лесного хозяйства России к изменениям климата применительно к каждому субъекту РФ, опирающаяся на перспективные схемы лесного районирования в отношении изменяющихся условий произрастания лесов под воздействием изменений климата. </w:t>
      </w:r>
    </w:p>
    <w:p w:rsidR="00903050" w:rsidRPr="00903050" w:rsidRDefault="00903050" w:rsidP="00903050">
      <w:r w:rsidRPr="00903050">
        <w:t>Ключевые слова: лесные экосистемы, изменение климата, глобальное потепление, адаптация лесов, адаптация лесного хозяйства к изменению климата.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Биологическое разнообразие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Биоразнообразие и редкие виды наземных и морских животных прибрежно-морской территории тихоокеанской России </w:t>
      </w:r>
    </w:p>
    <w:p w:rsidR="00903050" w:rsidRDefault="00903050" w:rsidP="00903050">
      <w:r w:rsidRPr="00903050">
        <w:t>Бочарников В.Н.</w:t>
      </w:r>
      <w:r w:rsidRPr="00903050">
        <w:rPr>
          <w:vertAlign w:val="superscript"/>
        </w:rPr>
        <w:t>1</w:t>
      </w:r>
      <w:r w:rsidRPr="00903050">
        <w:t>, д.б.н., Токранов А.М.</w:t>
      </w:r>
      <w:r w:rsidRPr="00903050">
        <w:rPr>
          <w:vertAlign w:val="superscript"/>
        </w:rPr>
        <w:t>2</w:t>
      </w:r>
      <w:r w:rsidRPr="00903050">
        <w:t>, д.б.н., Глущенко Ю.Н.</w:t>
      </w:r>
      <w:r w:rsidRPr="00903050">
        <w:rPr>
          <w:vertAlign w:val="superscript"/>
        </w:rPr>
        <w:t>3</w:t>
      </w:r>
      <w:r w:rsidRPr="00903050">
        <w:t xml:space="preserve">, к.б.н. </w:t>
      </w:r>
    </w:p>
    <w:p w:rsidR="00903050" w:rsidRDefault="00903050" w:rsidP="00903050">
      <w:r w:rsidRPr="00903050">
        <w:rPr>
          <w:vertAlign w:val="superscript"/>
        </w:rPr>
        <w:t>1</w:t>
      </w:r>
      <w:r w:rsidRPr="00903050">
        <w:t xml:space="preserve">Тихоокеанский институт географии ДВО РАН, г. Владивосток </w:t>
      </w:r>
    </w:p>
    <w:p w:rsidR="00903050" w:rsidRDefault="00903050" w:rsidP="00903050">
      <w:r w:rsidRPr="00903050">
        <w:rPr>
          <w:vertAlign w:val="superscript"/>
        </w:rPr>
        <w:t>2</w:t>
      </w:r>
      <w:r w:rsidRPr="00903050">
        <w:t xml:space="preserve">Камчатский филиал Тихоокеанского института географии ДВО РАН, г. Петропавловск-Камчатский </w:t>
      </w:r>
    </w:p>
    <w:p w:rsidR="00903050" w:rsidRPr="00903050" w:rsidRDefault="00903050" w:rsidP="00903050">
      <w:r w:rsidRPr="00903050">
        <w:rPr>
          <w:vertAlign w:val="superscript"/>
        </w:rPr>
        <w:t>3</w:t>
      </w:r>
      <w:r w:rsidRPr="00903050">
        <w:t xml:space="preserve">Дальневосточный федеральный университет, г. Владивосток </w:t>
      </w:r>
    </w:p>
    <w:p w:rsidR="00903050" w:rsidRPr="00903050" w:rsidRDefault="00903050" w:rsidP="00903050">
      <w:r w:rsidRPr="00903050">
        <w:t xml:space="preserve">В статье представлены обобщающие оценки современного состояния биоразнообразия и актуального статуса пребывания наземных и водных животных на региональном (тихоокеанская Россия) и локальном (дальневосточные субъекты РФ) уровнях. Рассматривается фактическая степень сохранности видового богатства, сохранности эколого-охотничьих местообитаний и популяций отдельных редких видов животных. Даны количественные фаунистические характеристики для всей территории Дальнего Востока России. Названы основные угрозы прибрежно-морскому и наземному биоразнообразию и биоресурсам, отмечаются факторы антропогенного происхождения, оказывающие негативное воздействие на сохранение видов и экосистем. Обозначены экологические условия природопользования, которые направлены на социально-экономическое развитие территории Тихоокеанской России и удовлетворение коллективных потребностей людей в современных условиях. </w:t>
      </w:r>
    </w:p>
    <w:p w:rsidR="00903050" w:rsidRPr="00903050" w:rsidRDefault="00903050" w:rsidP="00903050">
      <w:r w:rsidRPr="00903050">
        <w:t>Ключевые слова: биоразнообразие, редкие виды, Красная книга, позвоночные животные, Тихоокеанская Россия, прибрежно-морские территории, видовое богатство, угрозы, природопользование.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Водные биоресурсы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Оценка стабильности промысла лососёвых видов рыб как фактора устойчивого развития рыбной промышленности Камчатки </w:t>
      </w:r>
    </w:p>
    <w:p w:rsidR="00903050" w:rsidRPr="00903050" w:rsidRDefault="00903050" w:rsidP="00903050">
      <w:r w:rsidRPr="00903050">
        <w:t xml:space="preserve">А.В. Андруцкий, Камчатский государственный технический университет, г. Петропавловск-Камчатский </w:t>
      </w:r>
    </w:p>
    <w:p w:rsidR="00903050" w:rsidRPr="00903050" w:rsidRDefault="00903050" w:rsidP="00903050">
      <w:r w:rsidRPr="00903050">
        <w:t xml:space="preserve">На основе данных Росрыболовства об уловах лососевых, дана оценка динамики их ресурсной базы, что позволяет определять тенденцию устойчивого развития рыбной отрасли Камчатки. В настоящее время ресурсная база горбуши, нерки и чавычи находится в удовлетворительном состоянии, биомасса кеты и кижуча имеет тенденцию к сокращению. В целом, промысел лососёвых потенциально устойчив, что частично обуславливает устойчивое развитие рыбной отрасли Камчатки. </w:t>
      </w:r>
    </w:p>
    <w:p w:rsidR="00903050" w:rsidRPr="00903050" w:rsidRDefault="00903050" w:rsidP="00903050">
      <w:r w:rsidRPr="00903050">
        <w:t>Ключевые слова: рыбная промышленность, официальные уловы, устойчивое развитие, лососёвые виды рыб, ресурсная база, промысел, Камчатский край.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Климатические ресурсы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Многолетние изменения основных метеорологических характеристик в зоне южной тайги европейской части России (бассейн верхней Волги) </w:t>
      </w:r>
    </w:p>
    <w:p w:rsidR="00903050" w:rsidRPr="00903050" w:rsidRDefault="00903050" w:rsidP="00903050">
      <w:r w:rsidRPr="00903050">
        <w:lastRenderedPageBreak/>
        <w:t xml:space="preserve">Ж.В. Кузьмина, д.г.н., Институт водных проблем РАН, С.Е. Трешкин, д.с.-х.н., Федеральное агентство научных организаций </w:t>
      </w:r>
    </w:p>
    <w:p w:rsidR="00903050" w:rsidRPr="00903050" w:rsidRDefault="00903050" w:rsidP="00903050">
      <w:r w:rsidRPr="00903050">
        <w:t xml:space="preserve">Для зоны южной тайги европейской части России (бассейн верхней Волги) проанализирована многолетняя годовая, полугодовая и сезонная динамика основных метеорологических характеристик (суммарных атмосферных осадков и температуры воздуха: средней, максимальной и минимальной) по их трендам за многолетний период (за 54-136 лет, по 2014 г.) на основе суточных наблюдений 8 метеостанций (Максатиха, Старица, Тверь, Переславль-Залесский, Кострома, Москва, Можайск, Коломна) ВМО. Установлены основные тенденции климатических изменений и оценена их доля на основе предложенного относительного коэффициента изменений метеорологических характеристик – ОКИ. </w:t>
      </w:r>
    </w:p>
    <w:p w:rsidR="00903050" w:rsidRPr="00903050" w:rsidRDefault="00903050" w:rsidP="00903050">
      <w:r w:rsidRPr="00903050">
        <w:t>Ключевые слова: средняя, абсолютная минимальная, абсолютная максимальная, средняя максимальная, средняя минимальная температура воздуха, суммарные атмосферные осадки; относительный коэффициент изменений основных метеорологических характеристик (ОКИ), изменение климата.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Рекреационные ресурсы и ООПТ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Управление степными резерватами в условиях активизации пожаров (на примере заповедника «Оренбургский») </w:t>
      </w:r>
    </w:p>
    <w:p w:rsidR="00903050" w:rsidRPr="00903050" w:rsidRDefault="00903050" w:rsidP="00903050">
      <w:r w:rsidRPr="00903050">
        <w:t xml:space="preserve">В.М. Павлейчик, к.г.н., Институт степи УрО РАН </w:t>
      </w:r>
    </w:p>
    <w:p w:rsidR="00903050" w:rsidRPr="00903050" w:rsidRDefault="00903050" w:rsidP="00903050">
      <w:r w:rsidRPr="00903050">
        <w:t xml:space="preserve">На основе изображений спутников Landsat и результатов идентификации ареалов гарей за 1984-2014 гг. выявлена многолетняя динамика природных пожаров в пределах нового участка заповедника «Оренбургский» («Предуральская степь»). Рассмотрены социально-экономические предпосылки активизации пожаров. Выявлено, что современная периодичность пожаров является потенциальной проблемой устойчивости экосистем и управления степными резерватами. </w:t>
      </w:r>
    </w:p>
    <w:p w:rsidR="00903050" w:rsidRPr="00903050" w:rsidRDefault="00903050" w:rsidP="00903050">
      <w:r w:rsidRPr="00903050">
        <w:t>Ключевые слова: степные пожары, активизация, заповедник «Оренбургский», малоиспользуемые угодья, космические изображения Landsat.</w:t>
      </w:r>
    </w:p>
    <w:p w:rsidR="00903050" w:rsidRDefault="00903050" w:rsidP="00781EDB"/>
    <w:p w:rsidR="00903050" w:rsidRPr="00903050" w:rsidRDefault="00903050" w:rsidP="00903050">
      <w:pPr>
        <w:rPr>
          <w:b/>
        </w:rPr>
      </w:pPr>
      <w:r w:rsidRPr="00903050">
        <w:rPr>
          <w:b/>
        </w:rPr>
        <w:t>Охрана окружающей среды</w:t>
      </w:r>
    </w:p>
    <w:p w:rsidR="00903050" w:rsidRPr="00903050" w:rsidRDefault="00903050" w:rsidP="00903050"/>
    <w:p w:rsidR="00903050" w:rsidRPr="00903050" w:rsidRDefault="00903050" w:rsidP="00903050">
      <w:pPr>
        <w:rPr>
          <w:b/>
        </w:rPr>
      </w:pPr>
      <w:r w:rsidRPr="00903050">
        <w:rPr>
          <w:b/>
        </w:rPr>
        <w:t xml:space="preserve">Предпосылки формирования комплексного подхода к управлению экологическими рисками на предприятии химической промышленности </w:t>
      </w:r>
    </w:p>
    <w:p w:rsidR="00903050" w:rsidRPr="00903050" w:rsidRDefault="00903050" w:rsidP="00903050">
      <w:r w:rsidRPr="00903050">
        <w:t xml:space="preserve">Л.С. Крутова, соискатель Государственного НИИ системного анализа Счетной палаты РФ </w:t>
      </w:r>
    </w:p>
    <w:p w:rsidR="00903050" w:rsidRPr="00903050" w:rsidRDefault="00903050" w:rsidP="00903050">
      <w:r w:rsidRPr="00903050">
        <w:t xml:space="preserve">В статье освещаются проблемы химической промышленности, являющейся существенным источником загрязнения окружающей природной среды. Сегодня вероятность того, что предприятия химического комплекса могут столкнуться с убытками, намного выше, чем 5 лет назад, поскольку регуляторы продолжают ужесточать ответственность за нанесение вреда окружающей природной среде. В статье представлены инструменты, позволяющие экономически сориентировать хозяйствующие субъекты в понимании необходимости осуществлять в своей деятельности природоохранные мероприятия за счет внедрения механизма страхования экологических рисков. Выдвинуты предположения о возможности использования дерева событий для оценки экологических рисков и последующего расчета тарифов в экологическом страховании. </w:t>
      </w:r>
    </w:p>
    <w:p w:rsidR="00903050" w:rsidRPr="00903050" w:rsidRDefault="00903050" w:rsidP="00903050">
      <w:r w:rsidRPr="00903050">
        <w:t>Ключевые слова: химическая промышленность, эколого-экономическое управление, экологическая устойчивость, оценка экологического риска, дерево событий, экологическое страхование.</w:t>
      </w:r>
    </w:p>
    <w:p w:rsidR="00903050" w:rsidRDefault="00903050" w:rsidP="00781EDB"/>
    <w:p w:rsidR="00C2256F" w:rsidRDefault="00C2256F" w:rsidP="00C2256F">
      <w:pPr>
        <w:pStyle w:val="a3"/>
        <w:rPr>
          <w:b/>
          <w:bCs/>
          <w:szCs w:val="24"/>
        </w:rPr>
      </w:pPr>
      <w:r w:rsidRPr="00781EDB">
        <w:rPr>
          <w:b/>
          <w:bCs/>
          <w:szCs w:val="24"/>
        </w:rPr>
        <w:t>ПРИРОДА и ОБЩЕСТВО</w:t>
      </w:r>
    </w:p>
    <w:p w:rsidR="00C2256F" w:rsidRPr="00E81C5D" w:rsidRDefault="00C2256F" w:rsidP="00C2256F">
      <w:pPr>
        <w:pStyle w:val="a3"/>
        <w:rPr>
          <w:bCs/>
          <w:szCs w:val="24"/>
        </w:rPr>
      </w:pPr>
    </w:p>
    <w:p w:rsidR="00903050" w:rsidRPr="00C95004" w:rsidRDefault="00903050" w:rsidP="00C95004">
      <w:pPr>
        <w:rPr>
          <w:b/>
        </w:rPr>
      </w:pPr>
      <w:r w:rsidRPr="00C95004">
        <w:rPr>
          <w:b/>
        </w:rPr>
        <w:lastRenderedPageBreak/>
        <w:t>Юбилеи</w:t>
      </w:r>
    </w:p>
    <w:p w:rsidR="00903050" w:rsidRPr="00C95004" w:rsidRDefault="00903050" w:rsidP="00C95004"/>
    <w:p w:rsidR="00903050" w:rsidRPr="00C95004" w:rsidRDefault="00903050" w:rsidP="00C95004">
      <w:pPr>
        <w:rPr>
          <w:b/>
        </w:rPr>
      </w:pPr>
      <w:r w:rsidRPr="00C95004">
        <w:rPr>
          <w:b/>
        </w:rPr>
        <w:t xml:space="preserve">Почвенному институту им. В.В. Докучаева – 90 лет </w:t>
      </w:r>
    </w:p>
    <w:p w:rsidR="00903050" w:rsidRPr="00C95004" w:rsidRDefault="00903050" w:rsidP="00C95004">
      <w:r w:rsidRPr="00C95004">
        <w:t>И.Н. Любимова</w:t>
      </w:r>
      <w:r w:rsidRPr="00C95004">
        <w:rPr>
          <w:vertAlign w:val="superscript"/>
        </w:rPr>
        <w:t>1</w:t>
      </w:r>
      <w:r w:rsidRPr="00C95004">
        <w:t>, д.с.-х.н., Н.Г. Рыбальский</w:t>
      </w:r>
      <w:r w:rsidRPr="00C95004">
        <w:rPr>
          <w:vertAlign w:val="superscript"/>
        </w:rPr>
        <w:t>2</w:t>
      </w:r>
      <w:r w:rsidRPr="00C95004">
        <w:t xml:space="preserve">, д.б.н. </w:t>
      </w:r>
    </w:p>
    <w:p w:rsidR="00903050" w:rsidRPr="00C95004" w:rsidRDefault="00903050" w:rsidP="00C95004">
      <w:r w:rsidRPr="00C95004">
        <w:rPr>
          <w:vertAlign w:val="superscript"/>
        </w:rPr>
        <w:t>1</w:t>
      </w:r>
      <w:r w:rsidRPr="00C95004">
        <w:t xml:space="preserve">Почвенный институт им. В.В. Докучаева </w:t>
      </w:r>
    </w:p>
    <w:p w:rsidR="00903050" w:rsidRPr="00C95004" w:rsidRDefault="00903050" w:rsidP="00C95004">
      <w:r w:rsidRPr="00C95004">
        <w:rPr>
          <w:vertAlign w:val="superscript"/>
        </w:rPr>
        <w:t>2</w:t>
      </w:r>
      <w:r w:rsidRPr="00C95004">
        <w:t xml:space="preserve">Национальное информационное агентство «Природные ресурсы» </w:t>
      </w:r>
    </w:p>
    <w:p w:rsidR="00903050" w:rsidRPr="00C95004" w:rsidRDefault="00903050" w:rsidP="00C95004">
      <w:r w:rsidRPr="00C95004">
        <w:t xml:space="preserve">В статье, посвященной 90-летию Почвенного института им. В.В. Докучаева, первого в России научного учреждения в области почвоведения, рассмотрен период становления и развития Института в системе Академии наук СССР (1927-1961 гг.) ВАСХНИЛ и Россельхозакадемии (1961-2013 гг.). Представлены основные достижения Почвенного института им. В.В. Докучаева современного периода, когда в 2011 г. Институт возглавил вице-президент Россельхозакадемии, академик А.Л. Иванов. </w:t>
      </w:r>
    </w:p>
    <w:p w:rsidR="00903050" w:rsidRPr="00C95004" w:rsidRDefault="00903050" w:rsidP="00C95004">
      <w:r w:rsidRPr="00C95004">
        <w:t>Ключевые слова: почвы, почвоведение, Почвенный институт им. В.В. Докучаева, история создания, исследования почв страны.</w:t>
      </w:r>
    </w:p>
    <w:p w:rsidR="00903050" w:rsidRDefault="00903050" w:rsidP="00781EDB"/>
    <w:p w:rsidR="00C95004" w:rsidRPr="00C95004" w:rsidRDefault="00C95004" w:rsidP="00C95004">
      <w:pPr>
        <w:rPr>
          <w:b/>
        </w:rPr>
      </w:pPr>
      <w:r w:rsidRPr="00C95004">
        <w:rPr>
          <w:b/>
        </w:rPr>
        <w:t>Международное сотрудничество</w:t>
      </w:r>
    </w:p>
    <w:p w:rsidR="00C95004" w:rsidRDefault="00C95004" w:rsidP="00C95004"/>
    <w:p w:rsidR="00C95004" w:rsidRPr="00C95004" w:rsidRDefault="00C95004" w:rsidP="00C95004">
      <w:pPr>
        <w:rPr>
          <w:b/>
        </w:rPr>
      </w:pPr>
      <w:r w:rsidRPr="00C95004">
        <w:rPr>
          <w:b/>
        </w:rPr>
        <w:t xml:space="preserve">Проблемы и перспективы экологической политики России и Беларуси в рамках Союзного государства </w:t>
      </w:r>
    </w:p>
    <w:p w:rsidR="00C95004" w:rsidRPr="00C95004" w:rsidRDefault="00C95004" w:rsidP="00C95004">
      <w:r w:rsidRPr="00C95004">
        <w:t xml:space="preserve">Г.С. Розенберг, чл.-корр. РАН, Институт экологии Волжского бассейна РАН </w:t>
      </w:r>
    </w:p>
    <w:p w:rsidR="00C95004" w:rsidRPr="00C95004" w:rsidRDefault="00C95004" w:rsidP="00C95004">
      <w:r w:rsidRPr="00C95004">
        <w:t xml:space="preserve">В статье представлен краткий анализ выступлений на 50-ом заседании Постоянно действующего семинара при Парламентском Собрании Союза Беларуси и России по вопросам строительства Союзного государства «Актуальные проблемы и приоритеты экологической политики России и Беларуси в рамках Союзного государства» (1-2 ноября, г. Брянск). </w:t>
      </w:r>
    </w:p>
    <w:p w:rsidR="00903050" w:rsidRPr="00C95004" w:rsidRDefault="00C95004" w:rsidP="00C95004">
      <w:r w:rsidRPr="00C95004">
        <w:t>Ключевые слова: экологическая политика, устойчивое развитие, Союзное государство, единое экологическое пространство, экологические проблемы, экологическое образование и просвещение, природоохранная деятельность.</w:t>
      </w:r>
    </w:p>
    <w:p w:rsidR="00903050" w:rsidRDefault="00903050" w:rsidP="00C95004"/>
    <w:p w:rsidR="00C95004" w:rsidRPr="00C95004" w:rsidRDefault="00C95004" w:rsidP="00C95004">
      <w:pPr>
        <w:rPr>
          <w:b/>
        </w:rPr>
      </w:pPr>
      <w:r w:rsidRPr="00C95004">
        <w:rPr>
          <w:b/>
        </w:rPr>
        <w:t>Жизнь регионов</w:t>
      </w:r>
    </w:p>
    <w:p w:rsidR="00C95004" w:rsidRPr="00C95004" w:rsidRDefault="00C95004" w:rsidP="00C95004"/>
    <w:p w:rsidR="00C95004" w:rsidRPr="00C95004" w:rsidRDefault="00C95004" w:rsidP="00C95004">
      <w:pPr>
        <w:rPr>
          <w:b/>
        </w:rPr>
      </w:pPr>
      <w:r w:rsidRPr="00C95004">
        <w:rPr>
          <w:b/>
        </w:rPr>
        <w:t xml:space="preserve">Анализ экологических рисков и предложения по стабилизации экологии Донбасса </w:t>
      </w:r>
    </w:p>
    <w:p w:rsidR="00C95004" w:rsidRPr="00C95004" w:rsidRDefault="00C95004" w:rsidP="00C95004">
      <w:r w:rsidRPr="00C95004">
        <w:t xml:space="preserve">К.Н. Маренич, д.т.н., Донецкий национальный технический университет </w:t>
      </w:r>
    </w:p>
    <w:p w:rsidR="00C95004" w:rsidRPr="00C95004" w:rsidRDefault="00C95004" w:rsidP="00C95004">
      <w:r w:rsidRPr="00C95004">
        <w:t xml:space="preserve">В статье обоснована несостоятельность предположений о возможной экологической катастрофе в Донбассе, связанной с подземными горными работами. Проанализированы экологические риски и представлена информация о средствах и мероприятиях по обеспечению экологической безопасности предприятий и производств. </w:t>
      </w:r>
    </w:p>
    <w:p w:rsidR="00C95004" w:rsidRPr="00C95004" w:rsidRDefault="00C95004" w:rsidP="00C95004">
      <w:r w:rsidRPr="00C95004">
        <w:t>Ключевые слова: экология Донбасса, геоэкология, экологическая безопасность, экологические риски.</w:t>
      </w:r>
    </w:p>
    <w:p w:rsidR="00C95004" w:rsidRDefault="00C95004" w:rsidP="00C95004"/>
    <w:p w:rsidR="00C95004" w:rsidRPr="00C95004" w:rsidRDefault="00C95004" w:rsidP="00C95004">
      <w:pPr>
        <w:rPr>
          <w:b/>
        </w:rPr>
      </w:pPr>
      <w:r w:rsidRPr="00C95004">
        <w:rPr>
          <w:b/>
        </w:rPr>
        <w:t>Общество и природа</w:t>
      </w:r>
    </w:p>
    <w:p w:rsidR="00C95004" w:rsidRPr="00C95004" w:rsidRDefault="00C95004" w:rsidP="00C95004"/>
    <w:p w:rsidR="00C95004" w:rsidRPr="00C95004" w:rsidRDefault="00C95004" w:rsidP="00C95004">
      <w:pPr>
        <w:rPr>
          <w:b/>
        </w:rPr>
      </w:pPr>
      <w:r w:rsidRPr="00C95004">
        <w:rPr>
          <w:b/>
        </w:rPr>
        <w:t xml:space="preserve">Ресурс экологического кодекса </w:t>
      </w:r>
    </w:p>
    <w:p w:rsidR="00C95004" w:rsidRPr="00C95004" w:rsidRDefault="00C95004" w:rsidP="00C95004">
      <w:r w:rsidRPr="00C95004">
        <w:t>Э.В. Гирусов</w:t>
      </w:r>
      <w:r w:rsidRPr="00C95004">
        <w:rPr>
          <w:vertAlign w:val="superscript"/>
        </w:rPr>
        <w:t>1</w:t>
      </w:r>
      <w:r w:rsidRPr="00C95004">
        <w:t>, д.филос.н., В.И. Фалько</w:t>
      </w:r>
      <w:r w:rsidRPr="00C95004">
        <w:rPr>
          <w:vertAlign w:val="superscript"/>
        </w:rPr>
        <w:t>2</w:t>
      </w:r>
      <w:r w:rsidRPr="00C95004">
        <w:t xml:space="preserve">, к.филос.н. </w:t>
      </w:r>
    </w:p>
    <w:p w:rsidR="00C95004" w:rsidRPr="00C95004" w:rsidRDefault="00C95004" w:rsidP="00C95004">
      <w:r w:rsidRPr="00C95004">
        <w:rPr>
          <w:vertAlign w:val="superscript"/>
        </w:rPr>
        <w:t>1</w:t>
      </w:r>
      <w:r w:rsidRPr="00C95004">
        <w:t xml:space="preserve">Московская государственная академия художественного искусства им. Сурикова </w:t>
      </w:r>
    </w:p>
    <w:p w:rsidR="00C95004" w:rsidRPr="00C95004" w:rsidRDefault="00C95004" w:rsidP="00C95004">
      <w:r w:rsidRPr="00C95004">
        <w:rPr>
          <w:vertAlign w:val="superscript"/>
        </w:rPr>
        <w:t>2</w:t>
      </w:r>
      <w:r w:rsidRPr="00C95004">
        <w:t xml:space="preserve">Мытищинский филиал Московского государственного технического университета им. Н.Э. Баумана </w:t>
      </w:r>
    </w:p>
    <w:p w:rsidR="00C95004" w:rsidRPr="00C95004" w:rsidRDefault="00C95004" w:rsidP="00C95004">
      <w:r w:rsidRPr="00C95004">
        <w:t xml:space="preserve">В статье отмечается, что для предотвращения глобальной экологической катастрофы необходимо перейти к партнёрским, субъект-субъектным отношениям человека и природы, а природопользование и природоохранная деятельность должны следовать социоприродным законам и требованиям экологической этики. Важнейшую роль в этом играет разработка и </w:t>
      </w:r>
      <w:r w:rsidRPr="00C95004">
        <w:lastRenderedPageBreak/>
        <w:t xml:space="preserve">принятие национальных и международных кодексов этики природопользования. Обсуждается проект Экологического кодекса России, разработанный группой философов ещё в 1993 году. Предлагается придать ему правовой статус, положив в основу экологического законодательства и использовать при разработке международного кодекса этики природопользования. </w:t>
      </w:r>
    </w:p>
    <w:p w:rsidR="00C95004" w:rsidRPr="00C95004" w:rsidRDefault="00C95004" w:rsidP="00C95004">
      <w:r w:rsidRPr="00C95004">
        <w:t>Ключевые слова: экологический кризис, антропогенный фактор, нравственное отношение к природе, этика природопользования, экологический кодекс.</w:t>
      </w:r>
    </w:p>
    <w:p w:rsidR="00C95004" w:rsidRDefault="00C95004" w:rsidP="00C95004"/>
    <w:p w:rsidR="00745547" w:rsidRPr="00745547" w:rsidRDefault="00745547" w:rsidP="00745547">
      <w:pPr>
        <w:rPr>
          <w:b/>
        </w:rPr>
      </w:pPr>
      <w:r w:rsidRPr="00745547">
        <w:rPr>
          <w:b/>
        </w:rPr>
        <w:t xml:space="preserve">Представленность почвоведения на YouTube </w:t>
      </w:r>
    </w:p>
    <w:p w:rsidR="00745547" w:rsidRPr="00745547" w:rsidRDefault="00745547" w:rsidP="00745547">
      <w:r w:rsidRPr="00745547">
        <w:t xml:space="preserve">В.А. Долгинова, к.б.н., Научно-аналитический центр «Агропрогноз», </w:t>
      </w:r>
    </w:p>
    <w:p w:rsidR="00745547" w:rsidRPr="00745547" w:rsidRDefault="00745547" w:rsidP="00745547">
      <w:r w:rsidRPr="00745547">
        <w:t xml:space="preserve">Н.Н. Рыбальский, к.б.н., факультет почвоведения МГУ им. М.В. Ломоносова </w:t>
      </w:r>
    </w:p>
    <w:p w:rsidR="00745547" w:rsidRPr="00745547" w:rsidRDefault="00745547" w:rsidP="00745547">
      <w:r w:rsidRPr="00745547">
        <w:t xml:space="preserve">В статье рассматривается представленность почвоведения в видео формате на YouTube – самой популярной онлайн медиа-платформе. Изучается переход онлайн медиа от чисто развлекательных к образовательным, научно-популярным и исследовательским целям. Анализируется наиболее популярные научные и научно-популярные youtube-каналы в сравнении с каналами почвенной и аграрной тематики. На основе анализа поисковых запросов, оцениваются текущая ситуация и потенциал русскоязычных youtube-каналов. </w:t>
      </w:r>
    </w:p>
    <w:p w:rsidR="00745547" w:rsidRPr="00745547" w:rsidRDefault="00745547" w:rsidP="00745547">
      <w:r w:rsidRPr="00745547">
        <w:t>Ключевые слова: ютуб, youtube, канал, видео, почвоведение, почва, почвовед, медиа, интернет, популяризация почвоведения, научно-популярный, видео о почвах, онлайн лекции, дистанционное обучение, влог, социальные медиа, образование.</w:t>
      </w:r>
    </w:p>
    <w:p w:rsidR="00745547" w:rsidRDefault="00745547" w:rsidP="00745547"/>
    <w:p w:rsidR="00745547" w:rsidRPr="00745547" w:rsidRDefault="00745547" w:rsidP="00745547">
      <w:pPr>
        <w:rPr>
          <w:b/>
        </w:rPr>
      </w:pPr>
      <w:r w:rsidRPr="00745547">
        <w:rPr>
          <w:b/>
        </w:rPr>
        <w:t>Календарь событий</w:t>
      </w:r>
    </w:p>
    <w:p w:rsidR="00745547" w:rsidRPr="00745547" w:rsidRDefault="00745547" w:rsidP="00745547"/>
    <w:p w:rsidR="00745547" w:rsidRPr="00745547" w:rsidRDefault="00745547" w:rsidP="00745547">
      <w:pPr>
        <w:rPr>
          <w:b/>
        </w:rPr>
      </w:pPr>
      <w:r w:rsidRPr="00745547">
        <w:rPr>
          <w:b/>
        </w:rPr>
        <w:t xml:space="preserve">Актуальные проблемы природопользования и охраны природных ресурсов </w:t>
      </w:r>
    </w:p>
    <w:p w:rsidR="00745547" w:rsidRPr="00745547" w:rsidRDefault="00745547" w:rsidP="00745547">
      <w:r w:rsidRPr="00745547">
        <w:t>В.В. Струкова</w:t>
      </w:r>
      <w:r w:rsidRPr="00745547">
        <w:rPr>
          <w:vertAlign w:val="superscript"/>
        </w:rPr>
        <w:t>1</w:t>
      </w:r>
      <w:r w:rsidRPr="00745547">
        <w:t>, Д.С. Ермаков</w:t>
      </w:r>
      <w:r w:rsidRPr="00745547">
        <w:rPr>
          <w:vertAlign w:val="superscript"/>
        </w:rPr>
        <w:t>2</w:t>
      </w:r>
      <w:r w:rsidRPr="00745547">
        <w:t xml:space="preserve"> </w:t>
      </w:r>
    </w:p>
    <w:p w:rsidR="00745547" w:rsidRPr="00745547" w:rsidRDefault="00745547" w:rsidP="00745547">
      <w:r w:rsidRPr="00745547">
        <w:rPr>
          <w:vertAlign w:val="superscript"/>
        </w:rPr>
        <w:t>1</w:t>
      </w:r>
      <w:r w:rsidRPr="00745547">
        <w:t xml:space="preserve">ГПБУ «Мосприрода» </w:t>
      </w:r>
    </w:p>
    <w:p w:rsidR="00745547" w:rsidRPr="00745547" w:rsidRDefault="00745547" w:rsidP="00745547">
      <w:r w:rsidRPr="00745547">
        <w:rPr>
          <w:vertAlign w:val="superscript"/>
        </w:rPr>
        <w:t>2</w:t>
      </w:r>
      <w:r w:rsidRPr="00745547">
        <w:t xml:space="preserve">Московский институт открытого образования </w:t>
      </w:r>
    </w:p>
    <w:p w:rsidR="00745547" w:rsidRPr="00745547" w:rsidRDefault="00745547" w:rsidP="00745547">
      <w:r w:rsidRPr="00745547">
        <w:t xml:space="preserve">В статье отражены материалы докладов отечественных и зарубежных участников, представленных на пленарном заседании и круглых столах VIII Невского международного экологического конгресса «Экологическое просвещение – чистая страна», а также практические рекомендации, нашедшие отражение в итоговой резолюции. Особое внимание уделено актуальным вопросам природопользования и охраны природных ресурсов в международном, национальном и региональном аспектах. </w:t>
      </w:r>
    </w:p>
    <w:p w:rsidR="00745547" w:rsidRDefault="00745547" w:rsidP="00745547">
      <w:r w:rsidRPr="00745547">
        <w:t>Ключевые слова: Невский международный экологический конгресс, природопользование, охрана природных ресурсов, экологическое просвещение.</w:t>
      </w:r>
    </w:p>
    <w:p w:rsidR="00745547" w:rsidRDefault="00745547" w:rsidP="00745547"/>
    <w:p w:rsidR="00745547" w:rsidRDefault="00745547" w:rsidP="00745547"/>
    <w:p w:rsidR="00745547" w:rsidRPr="00745547" w:rsidRDefault="00745547" w:rsidP="00745547"/>
    <w:sectPr w:rsidR="00745547" w:rsidRPr="00745547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B1" w:rsidRDefault="009335B1" w:rsidP="00E81C5D">
      <w:r>
        <w:separator/>
      </w:r>
    </w:p>
  </w:endnote>
  <w:endnote w:type="continuationSeparator" w:id="1">
    <w:p w:rsidR="009335B1" w:rsidRDefault="009335B1" w:rsidP="00E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135"/>
      <w:docPartObj>
        <w:docPartGallery w:val="Page Numbers (Bottom of Page)"/>
        <w:docPartUnique/>
      </w:docPartObj>
    </w:sdtPr>
    <w:sdtContent>
      <w:p w:rsidR="00E81C5D" w:rsidRDefault="00F240CF">
        <w:pPr>
          <w:pStyle w:val="a6"/>
          <w:jc w:val="right"/>
        </w:pPr>
        <w:fldSimple w:instr=" PAGE   \* MERGEFORMAT ">
          <w:r w:rsidR="00C2256F">
            <w:rPr>
              <w:noProof/>
            </w:rPr>
            <w:t>6</w:t>
          </w:r>
        </w:fldSimple>
      </w:p>
    </w:sdtContent>
  </w:sdt>
  <w:p w:rsidR="00E81C5D" w:rsidRDefault="00E81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B1" w:rsidRDefault="009335B1" w:rsidP="00E81C5D">
      <w:r>
        <w:separator/>
      </w:r>
    </w:p>
  </w:footnote>
  <w:footnote w:type="continuationSeparator" w:id="1">
    <w:p w:rsidR="009335B1" w:rsidRDefault="009335B1" w:rsidP="00E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469A5"/>
    <w:rsid w:val="00083532"/>
    <w:rsid w:val="000A7409"/>
    <w:rsid w:val="000B18D3"/>
    <w:rsid w:val="000D066F"/>
    <w:rsid w:val="000F0BA9"/>
    <w:rsid w:val="00101CC5"/>
    <w:rsid w:val="00136980"/>
    <w:rsid w:val="00136FDF"/>
    <w:rsid w:val="001403A3"/>
    <w:rsid w:val="00144A85"/>
    <w:rsid w:val="00147517"/>
    <w:rsid w:val="001503AE"/>
    <w:rsid w:val="00151216"/>
    <w:rsid w:val="00154099"/>
    <w:rsid w:val="00166519"/>
    <w:rsid w:val="001669FB"/>
    <w:rsid w:val="0016765B"/>
    <w:rsid w:val="00176E01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0F52"/>
    <w:rsid w:val="00744925"/>
    <w:rsid w:val="00744D45"/>
    <w:rsid w:val="00745547"/>
    <w:rsid w:val="0075774A"/>
    <w:rsid w:val="00763AE9"/>
    <w:rsid w:val="00766878"/>
    <w:rsid w:val="007747D5"/>
    <w:rsid w:val="00781C8F"/>
    <w:rsid w:val="00781EDB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56DE9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D49FF"/>
    <w:rsid w:val="008E7344"/>
    <w:rsid w:val="008F29AB"/>
    <w:rsid w:val="00903050"/>
    <w:rsid w:val="00917A67"/>
    <w:rsid w:val="0092002B"/>
    <w:rsid w:val="00931238"/>
    <w:rsid w:val="009335B1"/>
    <w:rsid w:val="0093628C"/>
    <w:rsid w:val="00947EDC"/>
    <w:rsid w:val="009766EA"/>
    <w:rsid w:val="00981BEE"/>
    <w:rsid w:val="0098588B"/>
    <w:rsid w:val="00995D0A"/>
    <w:rsid w:val="009B32EE"/>
    <w:rsid w:val="009C665B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C5890"/>
    <w:rsid w:val="00AD47A2"/>
    <w:rsid w:val="00B019EB"/>
    <w:rsid w:val="00B0784C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256F"/>
    <w:rsid w:val="00C22FCD"/>
    <w:rsid w:val="00C26E99"/>
    <w:rsid w:val="00C33777"/>
    <w:rsid w:val="00C45F18"/>
    <w:rsid w:val="00C472AF"/>
    <w:rsid w:val="00C56BAF"/>
    <w:rsid w:val="00C82629"/>
    <w:rsid w:val="00C86DD0"/>
    <w:rsid w:val="00C95004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0D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185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1C5D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240CF"/>
    <w:rsid w:val="00F418C9"/>
    <w:rsid w:val="00F453B1"/>
    <w:rsid w:val="00F522CB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1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C5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E8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E81C5D"/>
    <w:rPr>
      <w:rFonts w:ascii="Times New Roman" w:eastAsia="Calibri" w:hAnsi="Times New Roman" w:cs="Times New Roman"/>
      <w:sz w:val="24"/>
    </w:rPr>
  </w:style>
  <w:style w:type="paragraph" w:customStyle="1" w:styleId="Pa25">
    <w:name w:val="Pa25"/>
    <w:basedOn w:val="Default"/>
    <w:next w:val="Default"/>
    <w:uiPriority w:val="99"/>
    <w:rsid w:val="0090305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03050"/>
    <w:pPr>
      <w:spacing w:line="36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03050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03050"/>
    <w:rPr>
      <w:rFonts w:cs="PetersburgC"/>
      <w:b/>
      <w:bCs/>
      <w:color w:val="000000"/>
      <w:sz w:val="68"/>
      <w:szCs w:val="68"/>
    </w:rPr>
  </w:style>
  <w:style w:type="character" w:customStyle="1" w:styleId="A26">
    <w:name w:val="A26"/>
    <w:uiPriority w:val="99"/>
    <w:rsid w:val="00903050"/>
    <w:rPr>
      <w:rFonts w:cs="TextBookC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903050"/>
    <w:pPr>
      <w:spacing w:line="24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903050"/>
    <w:pPr>
      <w:spacing w:line="18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03050"/>
    <w:pPr>
      <w:spacing w:line="18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C95004"/>
    <w:pPr>
      <w:spacing w:line="18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C95004"/>
    <w:rPr>
      <w:rFonts w:cs="TextBookC"/>
      <w:i/>
      <w:iCs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13</cp:revision>
  <dcterms:created xsi:type="dcterms:W3CDTF">2017-04-10T12:29:00Z</dcterms:created>
  <dcterms:modified xsi:type="dcterms:W3CDTF">2018-01-26T11:55:00Z</dcterms:modified>
</cp:coreProperties>
</file>